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56CF5" w14:textId="77777777" w:rsidR="00A775DF" w:rsidRPr="0052011F" w:rsidRDefault="007E682C" w:rsidP="00A775DF">
      <w:pPr>
        <w:ind w:left="-180"/>
        <w:rPr>
          <w:rFonts w:ascii="Helvetica" w:hAnsi="Helvetica"/>
          <w:sz w:val="22"/>
          <w:lang w:val="fr-CA"/>
        </w:rPr>
      </w:pPr>
      <w:r w:rsidRPr="00233666">
        <w:rPr>
          <w:rFonts w:ascii="Helvetica" w:eastAsia="Helvetica" w:hAnsi="Helvetica" w:cs="Helvetica"/>
          <w:b/>
          <w:bCs/>
          <w:sz w:val="22"/>
          <w:szCs w:val="22"/>
          <w:lang w:val="fr-CA" w:bidi="fr-CA"/>
        </w:rPr>
        <w:t>POUR DIFFUSION IMMÉDIATE</w:t>
      </w:r>
    </w:p>
    <w:p w14:paraId="0551ACED" w14:textId="77777777" w:rsidR="00A775DF" w:rsidRPr="0052011F" w:rsidRDefault="007E682C" w:rsidP="00A775DF">
      <w:pPr>
        <w:ind w:left="-180"/>
        <w:rPr>
          <w:rFonts w:ascii="Helvetica" w:hAnsi="Helvetica"/>
          <w:sz w:val="22"/>
          <w:lang w:val="fr-CA"/>
        </w:rPr>
      </w:pPr>
      <w:r w:rsidRPr="00233666">
        <w:rPr>
          <w:rFonts w:ascii="Helvetica" w:eastAsia="Helvetica" w:hAnsi="Helvetica" w:cs="Helvetica"/>
          <w:b/>
          <w:bCs/>
          <w:sz w:val="22"/>
          <w:szCs w:val="22"/>
          <w:lang w:val="fr-CA" w:bidi="fr-CA"/>
        </w:rPr>
        <w:t>Personne-ressource :</w:t>
      </w:r>
      <w:r w:rsidRPr="00233666">
        <w:rPr>
          <w:rFonts w:ascii="Helvetica" w:eastAsia="Helvetica" w:hAnsi="Helvetica" w:cs="Helvetica"/>
          <w:sz w:val="22"/>
          <w:szCs w:val="22"/>
          <w:lang w:val="fr-CA" w:bidi="fr-CA"/>
        </w:rPr>
        <w:t xml:space="preserve"> Melinda Maloney, LarsonO'Brien Marketing Group</w:t>
      </w:r>
    </w:p>
    <w:p w14:paraId="2963C33C" w14:textId="77777777" w:rsidR="00A775DF" w:rsidRPr="0052011F" w:rsidRDefault="007E682C" w:rsidP="00A775DF">
      <w:pPr>
        <w:ind w:left="-180"/>
        <w:rPr>
          <w:rFonts w:ascii="Helvetica" w:hAnsi="Helvetica"/>
          <w:sz w:val="22"/>
          <w:lang w:val="fr-CA"/>
        </w:rPr>
      </w:pPr>
      <w:r w:rsidRPr="00233666">
        <w:rPr>
          <w:rFonts w:ascii="Helvetica" w:eastAsia="Helvetica" w:hAnsi="Helvetica" w:cs="Helvetica"/>
          <w:b/>
          <w:bCs/>
          <w:sz w:val="22"/>
          <w:szCs w:val="22"/>
          <w:lang w:val="fr-CA" w:bidi="fr-CA"/>
        </w:rPr>
        <w:t>Tél. :</w:t>
      </w:r>
      <w:r w:rsidRPr="00233666">
        <w:rPr>
          <w:rFonts w:ascii="Helvetica" w:eastAsia="Helvetica" w:hAnsi="Helvetica" w:cs="Helvetica"/>
          <w:sz w:val="22"/>
          <w:szCs w:val="22"/>
          <w:lang w:val="fr-CA" w:bidi="fr-CA"/>
        </w:rPr>
        <w:t xml:space="preserve"> 412 831-1959, poste 134 </w:t>
      </w:r>
      <w:r w:rsidRPr="00233666">
        <w:rPr>
          <w:rFonts w:ascii="Helvetica" w:eastAsia="Helvetica" w:hAnsi="Helvetica" w:cs="Helvetica"/>
          <w:b/>
          <w:bCs/>
          <w:sz w:val="22"/>
          <w:szCs w:val="22"/>
          <w:lang w:val="fr-CA" w:bidi="fr-CA"/>
        </w:rPr>
        <w:t>Courriel :</w:t>
      </w:r>
      <w:r w:rsidRPr="00233666">
        <w:rPr>
          <w:rFonts w:ascii="Helvetica" w:eastAsia="Helvetica" w:hAnsi="Helvetica" w:cs="Helvetica"/>
          <w:sz w:val="22"/>
          <w:szCs w:val="22"/>
          <w:lang w:val="fr-CA" w:bidi="fr-CA"/>
        </w:rPr>
        <w:t xml:space="preserve"> </w:t>
      </w:r>
      <w:hyperlink r:id="rId8" w:history="1">
        <w:r w:rsidRPr="00233666">
          <w:rPr>
            <w:rFonts w:ascii="Helvetica" w:eastAsia="Helvetica" w:hAnsi="Helvetica" w:cs="Helvetica"/>
            <w:color w:val="0000FF"/>
            <w:sz w:val="22"/>
            <w:szCs w:val="22"/>
            <w:u w:val="single"/>
            <w:lang w:val="fr-CA" w:bidi="fr-CA"/>
          </w:rPr>
          <w:t>melinda@larsonobrien.com</w:t>
        </w:r>
      </w:hyperlink>
    </w:p>
    <w:p w14:paraId="7345A50B" w14:textId="77777777" w:rsidR="00A775DF" w:rsidRPr="0052011F" w:rsidRDefault="00741FD2" w:rsidP="00A775DF">
      <w:pPr>
        <w:ind w:left="-180" w:right="-180"/>
        <w:rPr>
          <w:rFonts w:ascii="Helvetica" w:hAnsi="Helvetica"/>
          <w:sz w:val="22"/>
          <w:lang w:val="fr-CA"/>
        </w:rPr>
      </w:pPr>
      <w:r>
        <w:rPr>
          <w:rFonts w:ascii="Helvetica" w:eastAsia="Helvetica" w:hAnsi="Helvetica" w:cs="Helvetica"/>
          <w:b/>
          <w:bCs/>
          <w:sz w:val="22"/>
          <w:szCs w:val="22"/>
          <w:lang w:val="fr-CA" w:bidi="fr-CA"/>
        </w:rPr>
        <w:t xml:space="preserve">Date </w:t>
      </w:r>
      <w:r w:rsidR="007E682C" w:rsidRPr="00233666">
        <w:rPr>
          <w:rFonts w:ascii="Helvetica" w:eastAsia="Helvetica" w:hAnsi="Helvetica" w:cs="Helvetica"/>
          <w:b/>
          <w:bCs/>
          <w:sz w:val="22"/>
          <w:szCs w:val="22"/>
          <w:lang w:val="fr-CA" w:bidi="fr-CA"/>
        </w:rPr>
        <w:t>:</w:t>
      </w:r>
      <w:r>
        <w:rPr>
          <w:rFonts w:ascii="Helvetica" w:eastAsia="Helvetica" w:hAnsi="Helvetica" w:cs="Helvetica"/>
          <w:b/>
          <w:bCs/>
          <w:sz w:val="22"/>
          <w:szCs w:val="22"/>
          <w:lang w:val="fr-CA" w:bidi="fr-CA"/>
        </w:rPr>
        <w:t xml:space="preserve"> </w:t>
      </w:r>
      <w:r>
        <w:rPr>
          <w:rFonts w:ascii="Helvetica" w:eastAsia="Helvetica" w:hAnsi="Helvetica" w:cs="Helvetica"/>
          <w:bCs/>
          <w:sz w:val="22"/>
          <w:szCs w:val="22"/>
          <w:lang w:val="fr-CA" w:bidi="fr-CA"/>
        </w:rPr>
        <w:t>29 janv. 15</w:t>
      </w:r>
      <w:r w:rsidR="007E682C" w:rsidRPr="00233666">
        <w:rPr>
          <w:rFonts w:ascii="Helvetica" w:eastAsia="Helvetica" w:hAnsi="Helvetica" w:cs="Helvetica"/>
          <w:sz w:val="22"/>
          <w:szCs w:val="22"/>
          <w:lang w:val="fr-CA" w:bidi="fr-CA"/>
        </w:rPr>
        <w:tab/>
      </w:r>
    </w:p>
    <w:p w14:paraId="51D98571" w14:textId="77777777" w:rsidR="00A775DF" w:rsidRPr="00741FD2" w:rsidRDefault="007E682C" w:rsidP="00A775DF">
      <w:pPr>
        <w:ind w:left="-180"/>
        <w:rPr>
          <w:rFonts w:ascii="Helvetica" w:hAnsi="Helvetica"/>
          <w:sz w:val="22"/>
          <w:lang w:val="fr-CA"/>
        </w:rPr>
      </w:pPr>
      <w:r w:rsidRPr="00233666">
        <w:rPr>
          <w:rFonts w:ascii="Helvetica" w:eastAsia="Helvetica" w:hAnsi="Helvetica" w:cs="Helvetica"/>
          <w:b/>
          <w:bCs/>
          <w:sz w:val="22"/>
          <w:szCs w:val="22"/>
          <w:lang w:val="fr-CA" w:bidi="fr-CA"/>
        </w:rPr>
        <w:t>Photos :</w:t>
      </w:r>
      <w:r w:rsidR="00741FD2">
        <w:rPr>
          <w:rFonts w:ascii="Helvetica" w:eastAsia="Helvetica" w:hAnsi="Helvetica" w:cs="Helvetica"/>
          <w:b/>
          <w:sz w:val="22"/>
          <w:szCs w:val="22"/>
          <w:lang w:val="fr-CA" w:bidi="fr-CA"/>
        </w:rPr>
        <w:t xml:space="preserve"> </w:t>
      </w:r>
      <w:hyperlink r:id="rId9" w:history="1">
        <w:r w:rsidR="00741FD2" w:rsidRPr="00A8478C">
          <w:rPr>
            <w:rStyle w:val="Hyperlink"/>
            <w:rFonts w:ascii="Helvetica" w:eastAsia="Helvetica" w:hAnsi="Helvetica" w:cs="Helvetica"/>
            <w:sz w:val="22"/>
            <w:szCs w:val="22"/>
            <w:lang w:val="fr-CA" w:bidi="fr-CA"/>
          </w:rPr>
          <w:t>www.lopressroom.com/tec/frenchapp</w:t>
        </w:r>
      </w:hyperlink>
      <w:r w:rsidR="00741FD2">
        <w:rPr>
          <w:rFonts w:ascii="Helvetica" w:eastAsia="Helvetica" w:hAnsi="Helvetica" w:cs="Helvetica"/>
          <w:sz w:val="22"/>
          <w:szCs w:val="22"/>
          <w:lang w:val="fr-CA" w:bidi="fr-CA"/>
        </w:rPr>
        <w:t xml:space="preserve"> </w:t>
      </w:r>
    </w:p>
    <w:p w14:paraId="20E11000" w14:textId="77777777" w:rsidR="00A775DF" w:rsidRPr="0052011F" w:rsidRDefault="00DA4BEC" w:rsidP="00A775DF">
      <w:pPr>
        <w:ind w:left="-180"/>
        <w:rPr>
          <w:rFonts w:ascii="Helvetica" w:hAnsi="Helvetica"/>
          <w:sz w:val="22"/>
          <w:lang w:val="fr-CA"/>
        </w:rPr>
      </w:pPr>
    </w:p>
    <w:p w14:paraId="752FA291" w14:textId="77777777" w:rsidR="00A775DF" w:rsidRPr="0052011F" w:rsidRDefault="007E682C" w:rsidP="00A775DF">
      <w:pPr>
        <w:ind w:left="-180"/>
        <w:jc w:val="center"/>
        <w:rPr>
          <w:rFonts w:ascii="Helvetica" w:hAnsi="Helvetica"/>
          <w:b/>
          <w:sz w:val="22"/>
          <w:lang w:val="fr-CA"/>
        </w:rPr>
      </w:pPr>
      <w:r>
        <w:rPr>
          <w:rFonts w:ascii="Helvetica" w:eastAsia="Helvetica" w:hAnsi="Helvetica" w:cs="Helvetica"/>
          <w:b/>
          <w:bCs/>
          <w:sz w:val="22"/>
          <w:szCs w:val="22"/>
          <w:lang w:val="fr-CA" w:bidi="fr-CA"/>
        </w:rPr>
        <w:t>TEC</w:t>
      </w:r>
      <w:r>
        <w:rPr>
          <w:rFonts w:ascii="Arial" w:eastAsia="Arial" w:hAnsi="Arial" w:cs="Arial"/>
          <w:b/>
          <w:bCs/>
          <w:sz w:val="22"/>
          <w:szCs w:val="22"/>
          <w:vertAlign w:val="superscript"/>
          <w:lang w:val="fr-CA" w:bidi="fr-CA"/>
        </w:rPr>
        <w:t>MD</w:t>
      </w:r>
      <w:r>
        <w:rPr>
          <w:rFonts w:ascii="Helvetica" w:eastAsia="Helvetica" w:hAnsi="Helvetica" w:cs="Helvetica"/>
          <w:b/>
          <w:bCs/>
          <w:sz w:val="22"/>
          <w:szCs w:val="22"/>
          <w:lang w:val="fr-CA" w:bidi="fr-CA"/>
        </w:rPr>
        <w:t xml:space="preserve"> lance une appli mobile de langue française au Canada</w:t>
      </w:r>
    </w:p>
    <w:p w14:paraId="3F7C9B53" w14:textId="77777777" w:rsidR="0032350A" w:rsidRPr="0052011F" w:rsidRDefault="007E682C" w:rsidP="0032350A">
      <w:pPr>
        <w:ind w:left="-180"/>
        <w:jc w:val="center"/>
        <w:rPr>
          <w:rFonts w:ascii="Helvetica" w:hAnsi="Helvetica"/>
          <w:sz w:val="22"/>
          <w:lang w:val="fr-CA"/>
        </w:rPr>
      </w:pPr>
      <w:r>
        <w:rPr>
          <w:rFonts w:ascii="Helvetica" w:eastAsia="Helvetica" w:hAnsi="Helvetica" w:cs="Helvetica"/>
          <w:sz w:val="22"/>
          <w:szCs w:val="22"/>
          <w:lang w:val="fr-CA" w:bidi="fr-CA"/>
        </w:rPr>
        <w:t>L'appli gratuite pour iPhone comprend la Calculatrice de rendement</w:t>
      </w:r>
    </w:p>
    <w:p w14:paraId="2A5F825D" w14:textId="77777777" w:rsidR="0032350A" w:rsidRPr="0052011F" w:rsidRDefault="00DA4BEC" w:rsidP="0032350A">
      <w:pPr>
        <w:ind w:left="-180"/>
        <w:jc w:val="center"/>
        <w:rPr>
          <w:rFonts w:ascii="Helvetica" w:hAnsi="Helvetica"/>
          <w:sz w:val="22"/>
          <w:lang w:val="fr-CA"/>
        </w:rPr>
      </w:pPr>
    </w:p>
    <w:p w14:paraId="2D190101" w14:textId="77777777" w:rsidR="00A775DF" w:rsidRPr="0052011F" w:rsidRDefault="007E682C" w:rsidP="0032350A">
      <w:pPr>
        <w:ind w:left="-180"/>
        <w:rPr>
          <w:rFonts w:ascii="Arial" w:hAnsi="Arial" w:cs="Arial"/>
          <w:sz w:val="22"/>
          <w:szCs w:val="22"/>
          <w:lang w:val="fr-CA"/>
        </w:rPr>
      </w:pPr>
      <w:r w:rsidRPr="004D76D7">
        <w:rPr>
          <w:rFonts w:ascii="Arial" w:eastAsia="Arial" w:hAnsi="Arial" w:cs="Arial"/>
          <w:b/>
          <w:bCs/>
          <w:sz w:val="22"/>
          <w:szCs w:val="22"/>
          <w:lang w:val="fr-CA" w:bidi="fr-CA"/>
        </w:rPr>
        <w:t>AURORA, IL, USA…</w:t>
      </w:r>
      <w:r w:rsidRPr="004D76D7">
        <w:rPr>
          <w:rFonts w:ascii="Arial" w:eastAsia="Arial" w:hAnsi="Arial" w:cs="Arial"/>
          <w:sz w:val="22"/>
          <w:szCs w:val="22"/>
          <w:lang w:val="fr-CA" w:bidi="fr-CA"/>
        </w:rPr>
        <w:t>TEC</w:t>
      </w:r>
      <w:r w:rsidRPr="004D76D7">
        <w:rPr>
          <w:rFonts w:ascii="Arial" w:eastAsia="Arial" w:hAnsi="Arial" w:cs="Arial"/>
          <w:sz w:val="22"/>
          <w:szCs w:val="22"/>
          <w:vertAlign w:val="superscript"/>
          <w:lang w:val="fr-CA" w:bidi="fr-CA"/>
        </w:rPr>
        <w:t xml:space="preserve"> MD</w:t>
      </w:r>
      <w:r w:rsidRPr="004D76D7">
        <w:rPr>
          <w:rFonts w:ascii="Arial" w:eastAsia="Arial" w:hAnsi="Arial" w:cs="Arial"/>
          <w:b/>
          <w:bCs/>
          <w:sz w:val="22"/>
          <w:szCs w:val="22"/>
          <w:lang w:val="fr-CA" w:bidi="fr-CA"/>
        </w:rPr>
        <w:t xml:space="preserve"> </w:t>
      </w:r>
      <w:r w:rsidRPr="004D76D7">
        <w:rPr>
          <w:rFonts w:ascii="Arial" w:eastAsia="Arial" w:hAnsi="Arial" w:cs="Arial"/>
          <w:sz w:val="22"/>
          <w:szCs w:val="22"/>
          <w:lang w:val="fr-CA" w:bidi="fr-CA"/>
        </w:rPr>
        <w:t>annonce le lancement de sa toute première appli en français – maintenant disponible au Canada. La « Calculatrice de rendement de systèmes d'installation TEC</w:t>
      </w:r>
      <w:r w:rsidRPr="004D76D7">
        <w:rPr>
          <w:rFonts w:ascii="Arial" w:eastAsia="Arial" w:hAnsi="Arial" w:cs="Arial"/>
          <w:sz w:val="22"/>
          <w:szCs w:val="22"/>
          <w:vertAlign w:val="superscript"/>
          <w:lang w:val="fr-CA" w:bidi="fr-CA"/>
        </w:rPr>
        <w:t>MC</w:t>
      </w:r>
      <w:r w:rsidRPr="004D76D7">
        <w:rPr>
          <w:rFonts w:ascii="Arial" w:eastAsia="Arial" w:hAnsi="Arial" w:cs="Arial"/>
          <w:sz w:val="22"/>
          <w:szCs w:val="22"/>
          <w:lang w:val="fr-CA" w:bidi="fr-CA"/>
        </w:rPr>
        <w:t> » comprend des vidéos sur les produits, les coordonnées des personnes-ressources et une version mobile de la Calculatrice de rendement, qui calcule la quantité de produits d'installation de carreaux et de revêtements de sol nécessaire pour un projet particulier.</w:t>
      </w:r>
    </w:p>
    <w:p w14:paraId="33484753" w14:textId="77777777" w:rsidR="00A775DF" w:rsidRPr="0052011F" w:rsidRDefault="00DA4BEC" w:rsidP="00A775DF">
      <w:pPr>
        <w:ind w:left="-180"/>
        <w:rPr>
          <w:rFonts w:ascii="Arial" w:hAnsi="Arial" w:cs="Arial"/>
          <w:sz w:val="22"/>
          <w:szCs w:val="22"/>
          <w:lang w:val="fr-CA"/>
        </w:rPr>
      </w:pPr>
    </w:p>
    <w:p w14:paraId="76E50B53" w14:textId="77777777" w:rsidR="00A775DF" w:rsidRPr="0052011F" w:rsidRDefault="007E682C" w:rsidP="00A775DF">
      <w:pPr>
        <w:ind w:left="-180"/>
        <w:rPr>
          <w:rFonts w:ascii="Arial" w:hAnsi="Arial" w:cs="Arial"/>
          <w:sz w:val="22"/>
          <w:szCs w:val="22"/>
          <w:lang w:val="fr-CA"/>
        </w:rPr>
      </w:pPr>
      <w:r w:rsidRPr="004D76D7">
        <w:rPr>
          <w:rFonts w:ascii="Arial" w:eastAsia="Arial" w:hAnsi="Arial" w:cs="Arial"/>
          <w:sz w:val="22"/>
          <w:szCs w:val="22"/>
          <w:lang w:val="fr-CA" w:bidi="fr-CA"/>
        </w:rPr>
        <w:t>La Calculatrice de rendement TEC</w:t>
      </w:r>
      <w:r w:rsidRPr="004D76D7">
        <w:rPr>
          <w:rFonts w:ascii="Arial" w:eastAsia="Arial" w:hAnsi="Arial" w:cs="Arial"/>
          <w:sz w:val="22"/>
          <w:szCs w:val="22"/>
          <w:vertAlign w:val="superscript"/>
          <w:lang w:val="fr-CA" w:bidi="fr-CA"/>
        </w:rPr>
        <w:t xml:space="preserve"> </w:t>
      </w:r>
      <w:r w:rsidR="0052011F" w:rsidRPr="004D76D7">
        <w:rPr>
          <w:rFonts w:ascii="Arial" w:eastAsia="Arial" w:hAnsi="Arial" w:cs="Arial"/>
          <w:sz w:val="22"/>
          <w:szCs w:val="22"/>
          <w:vertAlign w:val="superscript"/>
          <w:lang w:val="fr-CA" w:bidi="fr-CA"/>
        </w:rPr>
        <w:t>MD</w:t>
      </w:r>
      <w:r w:rsidR="0052011F" w:rsidRPr="004D76D7">
        <w:rPr>
          <w:rFonts w:ascii="Arial" w:eastAsia="Arial" w:hAnsi="Arial" w:cs="Arial"/>
          <w:b/>
          <w:bCs/>
          <w:sz w:val="22"/>
          <w:szCs w:val="22"/>
          <w:lang w:val="fr-CA" w:bidi="fr-CA"/>
        </w:rPr>
        <w:t>,</w:t>
      </w:r>
      <w:r w:rsidRPr="004D76D7">
        <w:rPr>
          <w:rFonts w:ascii="Arial" w:eastAsia="Arial" w:hAnsi="Arial" w:cs="Arial"/>
          <w:sz w:val="22"/>
          <w:szCs w:val="22"/>
          <w:lang w:val="fr-CA" w:bidi="fr-CA"/>
        </w:rPr>
        <w:t xml:space="preserve"> un caractéristique populaire du site Web de TEC</w:t>
      </w:r>
      <w:r w:rsidRPr="004D76D7">
        <w:rPr>
          <w:rFonts w:ascii="Arial" w:eastAsia="Arial" w:hAnsi="Arial" w:cs="Arial"/>
          <w:sz w:val="22"/>
          <w:szCs w:val="22"/>
          <w:vertAlign w:val="superscript"/>
          <w:lang w:val="fr-CA" w:bidi="fr-CA"/>
        </w:rPr>
        <w:t xml:space="preserve"> MD</w:t>
      </w:r>
      <w:r w:rsidRPr="004D76D7">
        <w:rPr>
          <w:rFonts w:ascii="Arial" w:eastAsia="Arial" w:hAnsi="Arial" w:cs="Arial"/>
          <w:sz w:val="22"/>
          <w:szCs w:val="22"/>
          <w:lang w:val="fr-CA" w:bidi="fr-CA"/>
        </w:rPr>
        <w:t>, permet aux entrepreneurs d'évaluer la quantité de produits de préparation de surface, de mortiers et de coulis nécessaire pour un projet. Les entrepreneurs saisissent simplement les spécifications du projet, y compris surface totale en pieds carrés (mètres carrés), la taille des carreaux et la largeur des joints de coulis, et le logiciel retournes les quantités estimées de produits en livres (kilos), gallons US (litres), sacs et seaux. Les utilisateurs peuvent enregistrer le résumé de rendement dans la section « Mes projets enregistrés » de l'appli. Cette caractéristique permet aux entrepreneurs de stocker leurs projets et de les consulter rapidement pour des projets ultérieurs.</w:t>
      </w:r>
    </w:p>
    <w:p w14:paraId="4BF056A1" w14:textId="77777777" w:rsidR="00A775DF" w:rsidRPr="0052011F" w:rsidRDefault="00DA4BEC" w:rsidP="00A775DF">
      <w:pPr>
        <w:ind w:left="-180"/>
        <w:rPr>
          <w:rFonts w:ascii="Arial" w:hAnsi="Arial" w:cs="Arial"/>
          <w:sz w:val="22"/>
          <w:szCs w:val="22"/>
          <w:lang w:val="fr-CA"/>
        </w:rPr>
      </w:pPr>
    </w:p>
    <w:p w14:paraId="5E38327B" w14:textId="77777777" w:rsidR="00A775DF" w:rsidRPr="0052011F" w:rsidRDefault="007E682C" w:rsidP="003169E5">
      <w:pPr>
        <w:ind w:left="-180"/>
        <w:rPr>
          <w:rFonts w:ascii="Arial" w:hAnsi="Arial" w:cs="Arial"/>
          <w:sz w:val="22"/>
          <w:szCs w:val="22"/>
          <w:lang w:val="fr-CA"/>
        </w:rPr>
      </w:pPr>
      <w:r>
        <w:rPr>
          <w:rFonts w:ascii="Arial" w:eastAsia="Arial" w:hAnsi="Arial" w:cs="Arial"/>
          <w:sz w:val="22"/>
          <w:szCs w:val="22"/>
          <w:lang w:val="fr-CA" w:bidi="fr-CA"/>
        </w:rPr>
        <w:t>Grâce à l'appli pour iPhone, les entrepreneurs peuvent accéder plus facilement aux avantages de la Calculatrice de rendement TEC</w:t>
      </w:r>
      <w:r>
        <w:rPr>
          <w:rFonts w:ascii="Arial" w:eastAsia="Arial" w:hAnsi="Arial" w:cs="Arial"/>
          <w:sz w:val="22"/>
          <w:szCs w:val="22"/>
          <w:vertAlign w:val="superscript"/>
          <w:lang w:val="fr-CA" w:bidi="fr-CA"/>
        </w:rPr>
        <w:t>MD</w:t>
      </w:r>
      <w:r>
        <w:rPr>
          <w:rFonts w:ascii="Arial" w:eastAsia="Arial" w:hAnsi="Arial" w:cs="Arial"/>
          <w:sz w:val="22"/>
          <w:szCs w:val="22"/>
          <w:lang w:val="fr-CA" w:bidi="fr-CA"/>
        </w:rPr>
        <w:t>, leur permettant de planifier des projets depuis virtuellement tout endroit. Les utilisateurs de l'appli peuvent aussi facilement visionner des vidéos TEC</w:t>
      </w:r>
      <w:r>
        <w:rPr>
          <w:rFonts w:ascii="Arial" w:eastAsia="Arial" w:hAnsi="Arial" w:cs="Arial"/>
          <w:sz w:val="22"/>
          <w:szCs w:val="22"/>
          <w:vertAlign w:val="superscript"/>
          <w:lang w:val="fr-CA" w:bidi="fr-CA"/>
        </w:rPr>
        <w:t>MD</w:t>
      </w:r>
      <w:r>
        <w:rPr>
          <w:rFonts w:ascii="Arial" w:eastAsia="Arial" w:hAnsi="Arial" w:cs="Arial"/>
          <w:b/>
          <w:bCs/>
          <w:sz w:val="22"/>
          <w:szCs w:val="22"/>
          <w:lang w:val="fr-CA" w:bidi="fr-CA"/>
        </w:rPr>
        <w:t xml:space="preserve"> </w:t>
      </w:r>
      <w:r>
        <w:rPr>
          <w:rFonts w:ascii="Arial" w:eastAsia="Arial" w:hAnsi="Arial" w:cs="Arial"/>
          <w:sz w:val="22"/>
          <w:szCs w:val="22"/>
          <w:lang w:val="fr-CA" w:bidi="fr-CA"/>
        </w:rPr>
        <w:t>hébergées sur YouTube</w:t>
      </w:r>
      <w:r>
        <w:rPr>
          <w:rFonts w:ascii="Arial" w:eastAsia="Arial" w:hAnsi="Arial" w:cs="Arial"/>
          <w:sz w:val="22"/>
          <w:szCs w:val="22"/>
          <w:vertAlign w:val="superscript"/>
          <w:lang w:val="fr-CA" w:bidi="fr-CA"/>
        </w:rPr>
        <w:t>MD</w:t>
      </w:r>
      <w:bookmarkStart w:id="0" w:name="_Hlt263060973"/>
      <w:r w:rsidRPr="004D76D7">
        <w:rPr>
          <w:rFonts w:ascii="Arial" w:hAnsi="Arial" w:cs="Arial"/>
          <w:sz w:val="22"/>
          <w:szCs w:val="22"/>
        </w:rPr>
        <w:fldChar w:fldCharType="begin"/>
      </w:r>
      <w:r w:rsidRPr="0052011F">
        <w:rPr>
          <w:rFonts w:ascii="Arial" w:hAnsi="Arial" w:cs="Arial"/>
          <w:sz w:val="22"/>
          <w:szCs w:val="22"/>
          <w:lang w:val="fr-CA"/>
        </w:rPr>
        <w:instrText xml:space="preserve"> HYPERLINK "http://www.tecspecialty.com" </w:instrText>
      </w:r>
      <w:r w:rsidRPr="004D76D7">
        <w:rPr>
          <w:rFonts w:ascii="Arial" w:hAnsi="Arial" w:cs="Arial"/>
          <w:sz w:val="22"/>
          <w:szCs w:val="22"/>
        </w:rPr>
        <w:fldChar w:fldCharType="end"/>
      </w:r>
      <w:bookmarkEnd w:id="0"/>
      <w:r>
        <w:rPr>
          <w:rFonts w:ascii="Arial" w:eastAsia="Arial" w:hAnsi="Arial" w:cs="Arial"/>
          <w:sz w:val="22"/>
          <w:szCs w:val="22"/>
          <w:lang w:val="fr-CA" w:bidi="fr-CA"/>
        </w:rPr>
        <w:t>. Les vidéos offrent des directives sur les procédures d'utilisation des produits TEC</w:t>
      </w:r>
      <w:r>
        <w:rPr>
          <w:rFonts w:ascii="Arial" w:eastAsia="Arial" w:hAnsi="Arial" w:cs="Arial"/>
          <w:sz w:val="22"/>
          <w:szCs w:val="22"/>
          <w:vertAlign w:val="superscript"/>
          <w:lang w:val="fr-CA" w:bidi="fr-CA"/>
        </w:rPr>
        <w:t>MD</w:t>
      </w:r>
      <w:r>
        <w:rPr>
          <w:rFonts w:ascii="Arial" w:eastAsia="Arial" w:hAnsi="Arial" w:cs="Arial"/>
          <w:b/>
          <w:bCs/>
          <w:sz w:val="22"/>
          <w:szCs w:val="22"/>
          <w:lang w:val="fr-CA" w:bidi="fr-CA"/>
        </w:rPr>
        <w:t xml:space="preserve"> </w:t>
      </w:r>
      <w:r>
        <w:rPr>
          <w:rFonts w:ascii="Arial" w:eastAsia="Arial" w:hAnsi="Arial" w:cs="Arial"/>
          <w:sz w:val="22"/>
          <w:szCs w:val="22"/>
          <w:lang w:val="fr-CA" w:bidi="fr-CA"/>
        </w:rPr>
        <w:t xml:space="preserve">sur les chantiers et des récapitulations rapides des techniques d'installation. </w:t>
      </w:r>
      <w:r w:rsidR="0052011F">
        <w:rPr>
          <w:rFonts w:ascii="Arial" w:eastAsia="Arial" w:hAnsi="Arial" w:cs="Arial"/>
          <w:sz w:val="22"/>
          <w:szCs w:val="22"/>
          <w:lang w:val="fr-CA" w:bidi="fr-CA"/>
        </w:rPr>
        <w:t xml:space="preserve">Les utilisateurs dont l'emplacement de l'appareil est réglé sur Canada et la langue réglée sur Français pourront utiliser toutes ces caractéristiques en français. </w:t>
      </w:r>
      <w:r>
        <w:rPr>
          <w:rFonts w:ascii="Arial" w:eastAsia="Arial" w:hAnsi="Arial" w:cs="Arial"/>
          <w:sz w:val="22"/>
          <w:szCs w:val="22"/>
          <w:lang w:val="fr-CA" w:bidi="fr-CA"/>
        </w:rPr>
        <w:t xml:space="preserve">Une version anglaise de l'appli est offerte à la fois pour le Canada et les États-Unis. </w:t>
      </w:r>
    </w:p>
    <w:p w14:paraId="2CF58A47" w14:textId="77777777" w:rsidR="00A775DF" w:rsidRPr="0052011F" w:rsidRDefault="00DA4BEC" w:rsidP="00A775DF">
      <w:pPr>
        <w:ind w:left="-180"/>
        <w:rPr>
          <w:rFonts w:ascii="Arial" w:hAnsi="Arial" w:cs="Arial"/>
          <w:sz w:val="22"/>
          <w:szCs w:val="22"/>
          <w:lang w:val="fr-CA"/>
        </w:rPr>
      </w:pPr>
    </w:p>
    <w:p w14:paraId="62C6875A" w14:textId="77777777" w:rsidR="00A775DF" w:rsidRPr="0052011F" w:rsidRDefault="007E682C" w:rsidP="00A775DF">
      <w:pPr>
        <w:ind w:left="-180"/>
        <w:rPr>
          <w:rFonts w:ascii="Arial" w:hAnsi="Arial" w:cs="Arial"/>
          <w:sz w:val="22"/>
          <w:szCs w:val="22"/>
          <w:lang w:val="fr-CA"/>
        </w:rPr>
      </w:pPr>
      <w:r w:rsidRPr="004D76D7">
        <w:rPr>
          <w:rFonts w:ascii="Arial" w:eastAsia="Arial" w:hAnsi="Arial" w:cs="Arial"/>
          <w:sz w:val="22"/>
          <w:szCs w:val="22"/>
          <w:lang w:val="fr-CA" w:bidi="fr-CA"/>
        </w:rPr>
        <w:t>La « Calculatrice de rendement de systèmes d'installation TEC</w:t>
      </w:r>
      <w:r w:rsidRPr="004D76D7">
        <w:rPr>
          <w:rFonts w:ascii="Arial" w:eastAsia="Arial" w:hAnsi="Arial" w:cs="Arial"/>
          <w:sz w:val="22"/>
          <w:szCs w:val="22"/>
          <w:vertAlign w:val="superscript"/>
          <w:lang w:val="fr-CA" w:bidi="fr-CA"/>
        </w:rPr>
        <w:t>MC</w:t>
      </w:r>
      <w:r w:rsidRPr="004D76D7">
        <w:rPr>
          <w:rFonts w:ascii="Arial" w:eastAsia="Arial" w:hAnsi="Arial" w:cs="Arial"/>
          <w:sz w:val="22"/>
          <w:szCs w:val="22"/>
          <w:lang w:val="fr-CA" w:bidi="fr-CA"/>
        </w:rPr>
        <w:t xml:space="preserve"> reflète notre volonté avouée d'être accessible à tous les entrepreneurs en carrelage et revêtements de sol partout dans le monde, » affirme Grant Huffine, directeur du marketing pour H.B. Fuller Construction Products Inc., les fabricants des produits de marque TEC</w:t>
      </w:r>
      <w:r w:rsidRPr="004D76D7">
        <w:rPr>
          <w:rFonts w:ascii="Arial" w:eastAsia="Arial" w:hAnsi="Arial" w:cs="Arial"/>
          <w:sz w:val="22"/>
          <w:szCs w:val="22"/>
          <w:vertAlign w:val="superscript"/>
          <w:lang w:val="fr-CA" w:bidi="fr-CA"/>
        </w:rPr>
        <w:t>MD</w:t>
      </w:r>
      <w:r w:rsidRPr="004D76D7">
        <w:rPr>
          <w:rFonts w:ascii="Arial" w:eastAsia="Arial" w:hAnsi="Arial" w:cs="Arial"/>
          <w:sz w:val="22"/>
          <w:szCs w:val="22"/>
          <w:lang w:val="fr-CA" w:bidi="fr-CA"/>
        </w:rPr>
        <w:t>. « Nous sommes très heureux d'offrir un nouvel outil qui peut faciliter le et améliorer l'efficacité du travail des entrepreneurs. »</w:t>
      </w:r>
    </w:p>
    <w:p w14:paraId="7543856C" w14:textId="77777777" w:rsidR="00D47AC2" w:rsidRPr="0052011F" w:rsidRDefault="00DA4BEC" w:rsidP="00A775DF">
      <w:pPr>
        <w:ind w:left="-180"/>
        <w:rPr>
          <w:rFonts w:ascii="Arial" w:hAnsi="Arial" w:cs="Arial"/>
          <w:sz w:val="22"/>
          <w:szCs w:val="22"/>
          <w:lang w:val="fr-CA"/>
        </w:rPr>
      </w:pPr>
    </w:p>
    <w:p w14:paraId="3A62787F" w14:textId="77777777" w:rsidR="00D47AC2" w:rsidRPr="0052011F" w:rsidRDefault="007E682C" w:rsidP="00D47AC2">
      <w:pPr>
        <w:ind w:left="-180"/>
        <w:rPr>
          <w:rFonts w:ascii="Arial" w:hAnsi="Arial" w:cs="Arial"/>
          <w:sz w:val="22"/>
          <w:szCs w:val="22"/>
          <w:lang w:val="fr-CA"/>
        </w:rPr>
      </w:pPr>
      <w:r w:rsidRPr="007B35B5">
        <w:rPr>
          <w:rFonts w:ascii="Arial" w:eastAsia="Arial" w:hAnsi="Arial" w:cs="Arial"/>
          <w:sz w:val="22"/>
          <w:szCs w:val="22"/>
          <w:lang w:val="fr-CA" w:bidi="fr-CA"/>
        </w:rPr>
        <w:t>Vous pouvez télécharger gratuitement l'appli TEC</w:t>
      </w:r>
      <w:r w:rsidRPr="007B35B5">
        <w:rPr>
          <w:rFonts w:ascii="Arial" w:eastAsia="Arial" w:hAnsi="Arial" w:cs="Arial"/>
          <w:sz w:val="22"/>
          <w:szCs w:val="22"/>
          <w:vertAlign w:val="superscript"/>
          <w:lang w:val="fr-CA" w:bidi="fr-CA"/>
        </w:rPr>
        <w:t>MD</w:t>
      </w:r>
      <w:r w:rsidRPr="007B35B5">
        <w:rPr>
          <w:rFonts w:ascii="Arial" w:eastAsia="Arial" w:hAnsi="Arial" w:cs="Arial"/>
          <w:sz w:val="22"/>
          <w:szCs w:val="22"/>
          <w:lang w:val="fr-CA" w:bidi="fr-CA"/>
        </w:rPr>
        <w:t xml:space="preserve"> en visitant l'Apple</w:t>
      </w:r>
      <w:r w:rsidRPr="007B35B5">
        <w:rPr>
          <w:rFonts w:ascii="Arial" w:eastAsia="Arial" w:hAnsi="Arial" w:cs="Arial"/>
          <w:sz w:val="22"/>
          <w:szCs w:val="22"/>
          <w:vertAlign w:val="superscript"/>
          <w:lang w:val="fr-CA" w:bidi="fr-CA"/>
        </w:rPr>
        <w:t>MD</w:t>
      </w:r>
      <w:r w:rsidRPr="007B35B5">
        <w:rPr>
          <w:rFonts w:ascii="Arial" w:eastAsia="Arial" w:hAnsi="Arial" w:cs="Arial"/>
          <w:sz w:val="22"/>
          <w:szCs w:val="22"/>
          <w:lang w:val="fr-CA" w:bidi="fr-CA"/>
        </w:rPr>
        <w:t xml:space="preserve"> Store officiel à </w:t>
      </w:r>
      <w:hyperlink r:id="rId10" w:history="1">
        <w:r w:rsidRPr="007B35B5">
          <w:rPr>
            <w:rFonts w:ascii="Arial" w:eastAsia="Arial" w:hAnsi="Arial" w:cs="Arial"/>
            <w:color w:val="0000FF"/>
            <w:sz w:val="22"/>
            <w:szCs w:val="22"/>
            <w:u w:val="single"/>
            <w:lang w:val="fr-CA" w:bidi="fr-CA"/>
          </w:rPr>
          <w:t>https://itunes.apple.com/US/app appli/id858806157?mt=8</w:t>
        </w:r>
      </w:hyperlink>
      <w:r w:rsidRPr="007B35B5">
        <w:rPr>
          <w:rFonts w:ascii="Arial" w:eastAsia="Arial" w:hAnsi="Arial" w:cs="Arial"/>
          <w:sz w:val="22"/>
          <w:szCs w:val="22"/>
          <w:lang w:val="fr-CA" w:bidi="fr-CA"/>
        </w:rPr>
        <w:t>.</w:t>
      </w:r>
    </w:p>
    <w:p w14:paraId="6EB56824" w14:textId="77777777" w:rsidR="00A775DF" w:rsidRPr="0052011F" w:rsidRDefault="00DA4BEC" w:rsidP="00A775DF">
      <w:pPr>
        <w:ind w:left="-180"/>
        <w:rPr>
          <w:rFonts w:ascii="Arial" w:hAnsi="Arial" w:cs="Arial"/>
          <w:sz w:val="22"/>
          <w:szCs w:val="22"/>
          <w:lang w:val="fr-CA"/>
        </w:rPr>
      </w:pPr>
    </w:p>
    <w:p w14:paraId="40691C46" w14:textId="77777777" w:rsidR="002754DB" w:rsidRPr="0052011F" w:rsidRDefault="007E682C" w:rsidP="002754DB">
      <w:pPr>
        <w:ind w:left="-180"/>
        <w:rPr>
          <w:rFonts w:ascii="Arial" w:hAnsi="Arial" w:cs="Arial"/>
          <w:sz w:val="22"/>
          <w:szCs w:val="22"/>
          <w:lang w:val="fr-CA"/>
        </w:rPr>
      </w:pPr>
      <w:r w:rsidRPr="004D76D7">
        <w:rPr>
          <w:rFonts w:ascii="Arial" w:eastAsia="Arial" w:hAnsi="Arial" w:cs="Arial"/>
          <w:sz w:val="22"/>
          <w:szCs w:val="22"/>
          <w:lang w:val="fr-CA" w:bidi="fr-CA"/>
        </w:rPr>
        <w:t xml:space="preserve">Vous pouvez continuer de télécharger la Calculatrice de rendement à </w:t>
      </w:r>
      <w:hyperlink r:id="rId11" w:history="1">
        <w:r w:rsidRPr="004D76D7">
          <w:rPr>
            <w:rFonts w:ascii="Arial" w:eastAsia="Arial" w:hAnsi="Arial" w:cs="Arial"/>
            <w:color w:val="0000FF"/>
            <w:sz w:val="22"/>
            <w:szCs w:val="22"/>
            <w:u w:val="single"/>
            <w:lang w:val="fr-CA" w:bidi="fr-CA"/>
          </w:rPr>
          <w:t>www.tecspecialty.com/customer-tools/coverage-calculator/</w:t>
        </w:r>
      </w:hyperlink>
      <w:r w:rsidRPr="004D76D7">
        <w:rPr>
          <w:rFonts w:ascii="Arial" w:eastAsia="Arial" w:hAnsi="Arial" w:cs="Arial"/>
          <w:sz w:val="22"/>
          <w:szCs w:val="22"/>
          <w:lang w:val="fr-CA" w:bidi="fr-CA"/>
        </w:rPr>
        <w:t xml:space="preserve">, et les versions Web et mobile permettront également de calculer une gamme plus étendue d'adhésives de revêtements de sol plus tard en 2015. </w:t>
      </w:r>
    </w:p>
    <w:p w14:paraId="1B6E7230" w14:textId="77777777" w:rsidR="002754DB" w:rsidRPr="0052011F" w:rsidRDefault="00DA4BEC" w:rsidP="002754DB">
      <w:pPr>
        <w:ind w:left="-180"/>
        <w:rPr>
          <w:rFonts w:ascii="Arial" w:hAnsi="Arial" w:cs="Arial"/>
          <w:sz w:val="22"/>
          <w:szCs w:val="22"/>
          <w:lang w:val="fr-CA"/>
        </w:rPr>
      </w:pPr>
    </w:p>
    <w:p w14:paraId="771F5D39" w14:textId="53F4E803" w:rsidR="00A775DF" w:rsidRPr="0052011F" w:rsidRDefault="007E682C" w:rsidP="002754DB">
      <w:pPr>
        <w:ind w:left="-180"/>
        <w:rPr>
          <w:rFonts w:ascii="Arial" w:hAnsi="Arial" w:cs="Arial"/>
          <w:sz w:val="22"/>
          <w:szCs w:val="22"/>
          <w:lang w:val="fr-CA"/>
        </w:rPr>
      </w:pPr>
      <w:r w:rsidRPr="005B2BA8">
        <w:rPr>
          <w:rFonts w:ascii="Helvetica" w:eastAsia="Helvetica" w:hAnsi="Helvetica" w:cs="Helvetica"/>
          <w:sz w:val="22"/>
          <w:szCs w:val="22"/>
          <w:lang w:val="fr-CA" w:bidi="fr-CA"/>
        </w:rPr>
        <w:t>La marque TEC</w:t>
      </w:r>
      <w:r w:rsidRPr="005B2BA8">
        <w:rPr>
          <w:rFonts w:ascii="Arial" w:eastAsia="Arial" w:hAnsi="Arial" w:cs="Arial"/>
          <w:sz w:val="22"/>
          <w:szCs w:val="22"/>
          <w:vertAlign w:val="superscript"/>
          <w:lang w:val="fr-CA" w:bidi="fr-CA"/>
        </w:rPr>
        <w:t xml:space="preserve"> MD</w:t>
      </w:r>
      <w:r w:rsidRPr="005B2BA8">
        <w:rPr>
          <w:rFonts w:ascii="Helvetica" w:eastAsia="Helvetica" w:hAnsi="Helvetica" w:cs="Helvetica"/>
          <w:sz w:val="22"/>
          <w:szCs w:val="22"/>
          <w:lang w:val="fr-CA" w:bidi="fr-CA"/>
        </w:rPr>
        <w:t xml:space="preserve"> est offerte par H.B. Fuller Construction Products Inc. – chef de file en fourniture de matériaux et de solutions à la fine pointe technologique à l'industrie de la construction commerciale, industrielle et résidentielle. Établie à Aurora, Illinois, USA, les </w:t>
      </w:r>
      <w:r w:rsidRPr="005B2BA8">
        <w:rPr>
          <w:rFonts w:ascii="Helvetica" w:eastAsia="Helvetica" w:hAnsi="Helvetica" w:cs="Helvetica"/>
          <w:sz w:val="22"/>
          <w:szCs w:val="22"/>
          <w:lang w:val="fr-CA" w:bidi="fr-CA"/>
        </w:rPr>
        <w:lastRenderedPageBreak/>
        <w:t>marques reconnues et éprouvées de la société, TEC</w:t>
      </w:r>
      <w:r w:rsidRPr="005B2BA8">
        <w:rPr>
          <w:rFonts w:ascii="Arial" w:eastAsia="Arial" w:hAnsi="Arial" w:cs="Arial"/>
          <w:sz w:val="22"/>
          <w:szCs w:val="22"/>
          <w:vertAlign w:val="superscript"/>
          <w:lang w:val="fr-CA" w:bidi="fr-CA"/>
        </w:rPr>
        <w:t>MD</w:t>
      </w:r>
      <w:r w:rsidRPr="005B2BA8">
        <w:rPr>
          <w:rFonts w:ascii="Helvetica" w:eastAsia="Helvetica" w:hAnsi="Helvetica" w:cs="Helvetica"/>
          <w:sz w:val="22"/>
          <w:szCs w:val="22"/>
          <w:lang w:val="fr-CA" w:bidi="fr-CA"/>
        </w:rPr>
        <w:t>, CHAPCO</w:t>
      </w:r>
      <w:r w:rsidRPr="005B2BA8">
        <w:rPr>
          <w:rFonts w:ascii="Arial" w:eastAsia="Arial" w:hAnsi="Arial" w:cs="Arial"/>
          <w:sz w:val="22"/>
          <w:szCs w:val="22"/>
          <w:vertAlign w:val="superscript"/>
          <w:lang w:val="fr-CA" w:bidi="fr-CA"/>
        </w:rPr>
        <w:t>MD</w:t>
      </w:r>
      <w:r w:rsidRPr="005B2BA8">
        <w:rPr>
          <w:rFonts w:ascii="Helvetica" w:eastAsia="Helvetica" w:hAnsi="Helvetica" w:cs="Helvetica"/>
          <w:sz w:val="22"/>
          <w:szCs w:val="22"/>
          <w:lang w:val="fr-CA" w:bidi="fr-CA"/>
        </w:rPr>
        <w:t>, Grout Boost</w:t>
      </w:r>
      <w:r w:rsidRPr="005B2BA8">
        <w:rPr>
          <w:rFonts w:ascii="Arial" w:eastAsia="Arial" w:hAnsi="Arial" w:cs="Arial"/>
          <w:sz w:val="22"/>
          <w:szCs w:val="22"/>
          <w:vertAlign w:val="superscript"/>
          <w:lang w:val="fr-CA" w:bidi="fr-CA"/>
        </w:rPr>
        <w:t>MD</w:t>
      </w:r>
      <w:r w:rsidRPr="005B2BA8">
        <w:rPr>
          <w:rFonts w:ascii="Helvetica" w:eastAsia="Helvetica" w:hAnsi="Helvetica" w:cs="Helvetica"/>
          <w:sz w:val="22"/>
          <w:szCs w:val="22"/>
          <w:lang w:val="fr-CA" w:bidi="fr-CA"/>
        </w:rPr>
        <w:t>, Foster</w:t>
      </w:r>
      <w:r w:rsidRPr="005B2BA8">
        <w:rPr>
          <w:rFonts w:ascii="Arial" w:eastAsia="Arial" w:hAnsi="Arial" w:cs="Arial"/>
          <w:sz w:val="22"/>
          <w:szCs w:val="22"/>
          <w:vertAlign w:val="superscript"/>
          <w:lang w:val="fr-CA" w:bidi="fr-CA"/>
        </w:rPr>
        <w:t>MD</w:t>
      </w:r>
      <w:r w:rsidRPr="005B2BA8">
        <w:rPr>
          <w:rFonts w:ascii="Helvetica" w:eastAsia="Helvetica" w:hAnsi="Helvetica" w:cs="Helvetica"/>
          <w:sz w:val="22"/>
          <w:szCs w:val="22"/>
          <w:lang w:val="fr-CA" w:bidi="fr-CA"/>
        </w:rPr>
        <w:t xml:space="preserve">, </w:t>
      </w:r>
      <w:r w:rsidR="00DA4BEC">
        <w:rPr>
          <w:rFonts w:ascii="Helvetica" w:eastAsia="Helvetica" w:hAnsi="Helvetica" w:cs="Helvetica"/>
          <w:sz w:val="22"/>
          <w:szCs w:val="22"/>
          <w:lang w:val="fr-CA" w:bidi="fr-CA"/>
        </w:rPr>
        <w:t>ProSpec</w:t>
      </w:r>
      <w:bookmarkStart w:id="1" w:name="_GoBack"/>
      <w:bookmarkEnd w:id="1"/>
      <w:r w:rsidRPr="005B2BA8">
        <w:rPr>
          <w:rFonts w:ascii="Arial" w:eastAsia="Arial" w:hAnsi="Arial" w:cs="Arial"/>
          <w:sz w:val="22"/>
          <w:szCs w:val="22"/>
          <w:vertAlign w:val="superscript"/>
          <w:lang w:val="fr-CA" w:bidi="fr-CA"/>
        </w:rPr>
        <w:t>M</w:t>
      </w:r>
      <w:r w:rsidR="00DA4BEC">
        <w:rPr>
          <w:rFonts w:ascii="Arial" w:eastAsia="Arial" w:hAnsi="Arial" w:cs="Arial"/>
          <w:sz w:val="22"/>
          <w:szCs w:val="22"/>
          <w:vertAlign w:val="superscript"/>
          <w:lang w:val="fr-CA" w:bidi="fr-CA"/>
        </w:rPr>
        <w:t>D</w:t>
      </w:r>
      <w:r w:rsidRPr="005B2BA8">
        <w:rPr>
          <w:rFonts w:ascii="Helvetica" w:eastAsia="Helvetica" w:hAnsi="Helvetica" w:cs="Helvetica"/>
          <w:sz w:val="22"/>
          <w:szCs w:val="22"/>
          <w:lang w:val="fr-CA" w:bidi="fr-CA"/>
        </w:rPr>
        <w:t xml:space="preserve"> et autres, sont offertes par l'intermédiaire d'un réseau étendu de distributeurs et de marchands, ainsi que par les centres de rénovation. Pour obtenir plus d'information, visitez </w:t>
      </w:r>
      <w:r w:rsidR="00741FD2">
        <w:fldChar w:fldCharType="begin"/>
      </w:r>
      <w:r w:rsidR="00741FD2">
        <w:instrText xml:space="preserve"> HYPERLINK "http://www.hbfuller-cp.com/" \t "_blank" </w:instrText>
      </w:r>
      <w:r w:rsidR="00741FD2">
        <w:fldChar w:fldCharType="separate"/>
      </w:r>
      <w:r w:rsidRPr="005B2BA8">
        <w:rPr>
          <w:rFonts w:ascii="Helvetica" w:eastAsia="Helvetica" w:hAnsi="Helvetica" w:cs="Helvetica"/>
          <w:color w:val="0000FF"/>
          <w:sz w:val="22"/>
          <w:szCs w:val="22"/>
          <w:u w:val="single"/>
          <w:lang w:val="fr-CA" w:bidi="fr-CA"/>
        </w:rPr>
        <w:t>www.hbfuller-cp.com</w:t>
      </w:r>
      <w:r w:rsidR="00741FD2">
        <w:rPr>
          <w:rFonts w:ascii="Helvetica" w:eastAsia="Helvetica" w:hAnsi="Helvetica" w:cs="Helvetica"/>
          <w:color w:val="0000FF"/>
          <w:sz w:val="22"/>
          <w:szCs w:val="22"/>
          <w:u w:val="single"/>
          <w:lang w:val="fr-CA" w:bidi="fr-CA"/>
        </w:rPr>
        <w:fldChar w:fldCharType="end"/>
      </w:r>
      <w:r w:rsidRPr="005B2BA8">
        <w:rPr>
          <w:rFonts w:ascii="Helvetica" w:eastAsia="Helvetica" w:hAnsi="Helvetica" w:cs="Helvetica"/>
          <w:sz w:val="22"/>
          <w:szCs w:val="22"/>
          <w:lang w:val="fr-CA" w:bidi="fr-CA"/>
        </w:rPr>
        <w:t>.</w:t>
      </w:r>
    </w:p>
    <w:p w14:paraId="09483FFB" w14:textId="77777777" w:rsidR="00A775DF" w:rsidRPr="0052011F" w:rsidRDefault="00DA4BEC" w:rsidP="00A775DF">
      <w:pPr>
        <w:ind w:left="-180"/>
        <w:rPr>
          <w:rFonts w:ascii="Helvetica" w:hAnsi="Helvetica"/>
          <w:sz w:val="22"/>
          <w:lang w:val="fr-CA"/>
        </w:rPr>
      </w:pPr>
    </w:p>
    <w:p w14:paraId="33CB45CB" w14:textId="77777777" w:rsidR="00140F45" w:rsidRPr="0052011F" w:rsidRDefault="007E682C" w:rsidP="006F6B04">
      <w:pPr>
        <w:rPr>
          <w:rFonts w:ascii="Helvetica" w:hAnsi="Helvetica"/>
          <w:sz w:val="16"/>
          <w:szCs w:val="16"/>
          <w:lang w:val="fr-CA"/>
        </w:rPr>
      </w:pPr>
      <w:r w:rsidRPr="00AA508C">
        <w:rPr>
          <w:rFonts w:ascii="Helvetica" w:eastAsia="Helvetica" w:hAnsi="Helvetica" w:cs="Helvetica"/>
          <w:sz w:val="16"/>
          <w:szCs w:val="16"/>
          <w:lang w:val="fr-CA" w:bidi="fr-CA"/>
        </w:rPr>
        <w:t>TEC</w:t>
      </w:r>
      <w:r w:rsidRPr="00AA508C">
        <w:rPr>
          <w:rFonts w:ascii="Helvetica" w:eastAsia="Helvetica" w:hAnsi="Helvetica" w:cs="Helvetica"/>
          <w:sz w:val="16"/>
          <w:szCs w:val="16"/>
          <w:vertAlign w:val="superscript"/>
          <w:lang w:val="fr-CA" w:bidi="fr-CA"/>
        </w:rPr>
        <w:t>MD</w:t>
      </w:r>
      <w:r w:rsidRPr="00AA508C">
        <w:rPr>
          <w:rFonts w:ascii="Helvetica" w:eastAsia="Helvetica" w:hAnsi="Helvetica" w:cs="Helvetica"/>
          <w:sz w:val="16"/>
          <w:szCs w:val="16"/>
          <w:lang w:val="fr-CA" w:bidi="fr-CA"/>
        </w:rPr>
        <w:t xml:space="preserve"> est une marque de commerce de H.B. Fuller Construction Products Inc.</w:t>
      </w:r>
      <w:r w:rsidRPr="00AA508C">
        <w:rPr>
          <w:rFonts w:ascii="Helvetica" w:eastAsia="Helvetica" w:hAnsi="Helvetica" w:cs="Helvetica"/>
          <w:sz w:val="16"/>
          <w:szCs w:val="16"/>
          <w:lang w:val="fr-CA" w:bidi="fr-CA"/>
        </w:rPr>
        <w:br/>
        <w:t>YouTube</w:t>
      </w:r>
      <w:r w:rsidRPr="00AA508C">
        <w:rPr>
          <w:rFonts w:ascii="Helvetica" w:eastAsia="Helvetica" w:hAnsi="Helvetica" w:cs="Helvetica"/>
          <w:sz w:val="16"/>
          <w:szCs w:val="16"/>
          <w:vertAlign w:val="superscript"/>
          <w:lang w:val="fr-CA" w:bidi="fr-CA"/>
        </w:rPr>
        <w:t>MD</w:t>
      </w:r>
      <w:r w:rsidRPr="00AA508C">
        <w:rPr>
          <w:rFonts w:ascii="Helvetica" w:eastAsia="Helvetica" w:hAnsi="Helvetica" w:cs="Helvetica"/>
          <w:sz w:val="16"/>
          <w:szCs w:val="16"/>
          <w:lang w:val="fr-CA" w:bidi="fr-CA"/>
        </w:rPr>
        <w:t xml:space="preserve"> est une marque de commerce déposée de Google, Inc.</w:t>
      </w:r>
    </w:p>
    <w:p w14:paraId="18414CC6" w14:textId="77777777" w:rsidR="00EE65E8" w:rsidRPr="0052011F" w:rsidRDefault="007E682C" w:rsidP="0043429A">
      <w:pPr>
        <w:ind w:left="-180"/>
        <w:rPr>
          <w:rFonts w:ascii="Helvetica" w:hAnsi="Helvetica"/>
          <w:i/>
          <w:sz w:val="16"/>
          <w:szCs w:val="16"/>
          <w:lang w:val="fr-CA"/>
        </w:rPr>
      </w:pPr>
      <w:r>
        <w:rPr>
          <w:rStyle w:val="Emphasis"/>
          <w:rFonts w:ascii="Lucida Grande" w:eastAsia="Lucida Grande" w:hAnsi="Lucida Grande" w:cs="Lucida Grande"/>
          <w:i w:val="0"/>
          <w:color w:val="333333"/>
          <w:sz w:val="16"/>
          <w:szCs w:val="16"/>
          <w:lang w:val="fr-CA" w:bidi="fr-CA"/>
        </w:rPr>
        <w:t>Apple et iPhone sont des marques de commerce de Apple Inc., enregistrées aux É.-U. et dans d'autres pays. App Store est une marque de service de Apple Inc.</w:t>
      </w:r>
    </w:p>
    <w:p w14:paraId="1C2AFB1C" w14:textId="77777777" w:rsidR="00A775DF" w:rsidRDefault="007E682C" w:rsidP="004659E7">
      <w:pPr>
        <w:jc w:val="center"/>
        <w:rPr>
          <w:rFonts w:ascii="Helvetica" w:hAnsi="Helvetica"/>
          <w:sz w:val="22"/>
        </w:rPr>
      </w:pPr>
      <w:r>
        <w:rPr>
          <w:rFonts w:ascii="Helvetica" w:hAnsi="Helvetica"/>
          <w:sz w:val="22"/>
        </w:rPr>
        <w:t>###</w:t>
      </w:r>
    </w:p>
    <w:p w14:paraId="37F016F9" w14:textId="77777777" w:rsidR="006F6B04" w:rsidRDefault="00DA4BEC" w:rsidP="004659E7">
      <w:pPr>
        <w:jc w:val="center"/>
        <w:rPr>
          <w:rFonts w:ascii="Helvetica" w:hAnsi="Helvetica"/>
          <w:sz w:val="16"/>
          <w:szCs w:val="16"/>
        </w:rPr>
      </w:pPr>
    </w:p>
    <w:p w14:paraId="10AE11F8" w14:textId="77777777" w:rsidR="006F6B04" w:rsidRDefault="00DA4BEC" w:rsidP="004659E7">
      <w:pPr>
        <w:jc w:val="center"/>
        <w:rPr>
          <w:rFonts w:ascii="Helvetica" w:hAnsi="Helvetica"/>
          <w:sz w:val="16"/>
          <w:szCs w:val="16"/>
        </w:rPr>
      </w:pPr>
    </w:p>
    <w:p w14:paraId="00F423D3" w14:textId="77777777" w:rsidR="006F6B04" w:rsidRDefault="00DA4BEC" w:rsidP="004659E7">
      <w:pPr>
        <w:jc w:val="center"/>
        <w:rPr>
          <w:rFonts w:ascii="Helvetica" w:hAnsi="Helvetica"/>
          <w:sz w:val="16"/>
          <w:szCs w:val="16"/>
        </w:rPr>
      </w:pPr>
    </w:p>
    <w:p w14:paraId="310F0921" w14:textId="77777777" w:rsidR="006F6B04" w:rsidRDefault="00DA4BEC" w:rsidP="004659E7">
      <w:pPr>
        <w:jc w:val="center"/>
        <w:rPr>
          <w:rFonts w:ascii="Helvetica" w:hAnsi="Helvetica"/>
          <w:sz w:val="16"/>
          <w:szCs w:val="16"/>
        </w:rPr>
      </w:pPr>
    </w:p>
    <w:p w14:paraId="28DE08AA" w14:textId="77777777" w:rsidR="006F6B04" w:rsidRPr="006F6B04" w:rsidRDefault="00DA4BEC" w:rsidP="006F6B04">
      <w:pPr>
        <w:rPr>
          <w:rFonts w:ascii="Helvetica" w:hAnsi="Helvetica"/>
          <w:sz w:val="16"/>
          <w:szCs w:val="16"/>
        </w:rPr>
      </w:pPr>
    </w:p>
    <w:sectPr w:rsidR="006F6B04" w:rsidRPr="006F6B04" w:rsidSect="00A775DF">
      <w:headerReference w:type="default" r:id="rId12"/>
      <w:pgSz w:w="12240" w:h="15840"/>
      <w:pgMar w:top="990" w:right="1620" w:bottom="720" w:left="16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8AAA9" w14:textId="77777777" w:rsidR="007E682C" w:rsidRDefault="007E682C">
      <w:r>
        <w:separator/>
      </w:r>
    </w:p>
  </w:endnote>
  <w:endnote w:type="continuationSeparator" w:id="0">
    <w:p w14:paraId="6D4D2646" w14:textId="77777777" w:rsidR="007E682C" w:rsidRDefault="007E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F2049" w14:textId="77777777" w:rsidR="007E682C" w:rsidRDefault="007E682C">
      <w:r>
        <w:separator/>
      </w:r>
    </w:p>
  </w:footnote>
  <w:footnote w:type="continuationSeparator" w:id="0">
    <w:p w14:paraId="261F87D2" w14:textId="77777777" w:rsidR="007E682C" w:rsidRDefault="007E68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3028" w14:textId="77777777" w:rsidR="004D76D7" w:rsidRDefault="0052011F" w:rsidP="00A775DF">
    <w:pPr>
      <w:pStyle w:val="Header"/>
      <w:jc w:val="right"/>
    </w:pPr>
    <w:r>
      <w:rPr>
        <w:noProof/>
      </w:rPr>
      <w:drawing>
        <wp:inline distT="0" distB="0" distL="0" distR="0" wp14:anchorId="0D722FFE" wp14:editId="70A7D7A5">
          <wp:extent cx="1594485" cy="707390"/>
          <wp:effectExtent l="19050" t="0" r="5715" b="0"/>
          <wp:docPr id="1" name="Image 1" descr="TEC_Logo_Sloga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_Logo_Slogan_4C"/>
                  <pic:cNvPicPr>
                    <a:picLocks noChangeAspect="1" noChangeArrowheads="1"/>
                  </pic:cNvPicPr>
                </pic:nvPicPr>
                <pic:blipFill>
                  <a:blip r:embed="rId1"/>
                  <a:srcRect/>
                  <a:stretch>
                    <a:fillRect/>
                  </a:stretch>
                </pic:blipFill>
                <pic:spPr bwMode="auto">
                  <a:xfrm>
                    <a:off x="0" y="0"/>
                    <a:ext cx="1594485" cy="7073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5AE8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703FB"/>
    <w:rsid w:val="0052011F"/>
    <w:rsid w:val="00741FD2"/>
    <w:rsid w:val="007E682C"/>
    <w:rsid w:val="00D703FB"/>
    <w:rsid w:val="00DA4BEC"/>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B4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12FF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C5C3F"/>
    <w:pPr>
      <w:spacing w:after="120"/>
    </w:pPr>
  </w:style>
  <w:style w:type="character" w:customStyle="1" w:styleId="BodyTextChar">
    <w:name w:val="Body Text Char"/>
    <w:link w:val="BodyText"/>
    <w:uiPriority w:val="99"/>
    <w:semiHidden/>
    <w:rsid w:val="001C5C3F"/>
    <w:rPr>
      <w:sz w:val="24"/>
      <w:szCs w:val="24"/>
    </w:rPr>
  </w:style>
  <w:style w:type="character" w:styleId="Hyperlink">
    <w:name w:val="Hyperlink"/>
    <w:uiPriority w:val="99"/>
    <w:unhideWhenUsed/>
    <w:rsid w:val="005F30F7"/>
    <w:rPr>
      <w:color w:val="0000FF"/>
      <w:u w:val="single"/>
    </w:rPr>
  </w:style>
  <w:style w:type="paragraph" w:styleId="Header">
    <w:name w:val="header"/>
    <w:basedOn w:val="Normal"/>
    <w:link w:val="HeaderChar"/>
    <w:uiPriority w:val="99"/>
    <w:unhideWhenUsed/>
    <w:rsid w:val="005F30F7"/>
    <w:pPr>
      <w:tabs>
        <w:tab w:val="center" w:pos="4320"/>
        <w:tab w:val="right" w:pos="8640"/>
      </w:tabs>
    </w:pPr>
  </w:style>
  <w:style w:type="character" w:customStyle="1" w:styleId="HeaderChar">
    <w:name w:val="Header Char"/>
    <w:link w:val="Header"/>
    <w:uiPriority w:val="99"/>
    <w:rsid w:val="005F30F7"/>
    <w:rPr>
      <w:sz w:val="24"/>
      <w:szCs w:val="24"/>
    </w:rPr>
  </w:style>
  <w:style w:type="paragraph" w:styleId="Footer">
    <w:name w:val="footer"/>
    <w:basedOn w:val="Normal"/>
    <w:link w:val="FooterChar"/>
    <w:uiPriority w:val="99"/>
    <w:semiHidden/>
    <w:unhideWhenUsed/>
    <w:rsid w:val="005F30F7"/>
    <w:pPr>
      <w:tabs>
        <w:tab w:val="center" w:pos="4320"/>
        <w:tab w:val="right" w:pos="8640"/>
      </w:tabs>
    </w:pPr>
  </w:style>
  <w:style w:type="character" w:customStyle="1" w:styleId="FooterChar">
    <w:name w:val="Footer Char"/>
    <w:link w:val="Footer"/>
    <w:uiPriority w:val="99"/>
    <w:semiHidden/>
    <w:rsid w:val="005F30F7"/>
    <w:rPr>
      <w:sz w:val="24"/>
      <w:szCs w:val="24"/>
    </w:rPr>
  </w:style>
  <w:style w:type="paragraph" w:styleId="BalloonText">
    <w:name w:val="Balloon Text"/>
    <w:basedOn w:val="Normal"/>
    <w:link w:val="BalloonTextChar"/>
    <w:uiPriority w:val="99"/>
    <w:semiHidden/>
    <w:unhideWhenUsed/>
    <w:rsid w:val="00A90C03"/>
    <w:rPr>
      <w:rFonts w:ascii="Lucida Grande" w:hAnsi="Lucida Grande"/>
      <w:sz w:val="18"/>
      <w:szCs w:val="18"/>
    </w:rPr>
  </w:style>
  <w:style w:type="character" w:customStyle="1" w:styleId="BalloonTextChar">
    <w:name w:val="Balloon Text Char"/>
    <w:link w:val="BalloonText"/>
    <w:uiPriority w:val="99"/>
    <w:semiHidden/>
    <w:rsid w:val="00A90C03"/>
    <w:rPr>
      <w:rFonts w:ascii="Lucida Grande" w:hAnsi="Lucida Grande"/>
      <w:sz w:val="18"/>
      <w:szCs w:val="18"/>
    </w:rPr>
  </w:style>
  <w:style w:type="character" w:styleId="CommentReference">
    <w:name w:val="annotation reference"/>
    <w:semiHidden/>
    <w:rsid w:val="00A6156B"/>
    <w:rPr>
      <w:sz w:val="18"/>
    </w:rPr>
  </w:style>
  <w:style w:type="paragraph" w:styleId="CommentText">
    <w:name w:val="annotation text"/>
    <w:basedOn w:val="Normal"/>
    <w:semiHidden/>
    <w:rsid w:val="00A6156B"/>
  </w:style>
  <w:style w:type="paragraph" w:styleId="CommentSubject">
    <w:name w:val="annotation subject"/>
    <w:basedOn w:val="CommentText"/>
    <w:next w:val="CommentText"/>
    <w:semiHidden/>
    <w:rsid w:val="00A6156B"/>
  </w:style>
  <w:style w:type="character" w:customStyle="1" w:styleId="apple-converted-space">
    <w:name w:val="apple-converted-space"/>
    <w:rsid w:val="00905581"/>
  </w:style>
  <w:style w:type="character" w:styleId="Emphasis">
    <w:name w:val="Emphasis"/>
    <w:uiPriority w:val="20"/>
    <w:qFormat/>
    <w:rsid w:val="00D928E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9">
      <w:bodyDiv w:val="1"/>
      <w:marLeft w:val="0"/>
      <w:marRight w:val="0"/>
      <w:marTop w:val="0"/>
      <w:marBottom w:val="0"/>
      <w:divBdr>
        <w:top w:val="none" w:sz="0" w:space="0" w:color="auto"/>
        <w:left w:val="none" w:sz="0" w:space="0" w:color="auto"/>
        <w:bottom w:val="none" w:sz="0" w:space="0" w:color="auto"/>
        <w:right w:val="none" w:sz="0" w:space="0" w:color="auto"/>
      </w:divBdr>
    </w:div>
    <w:div w:id="107701818">
      <w:bodyDiv w:val="1"/>
      <w:marLeft w:val="0"/>
      <w:marRight w:val="0"/>
      <w:marTop w:val="0"/>
      <w:marBottom w:val="0"/>
      <w:divBdr>
        <w:top w:val="none" w:sz="0" w:space="0" w:color="auto"/>
        <w:left w:val="none" w:sz="0" w:space="0" w:color="auto"/>
        <w:bottom w:val="none" w:sz="0" w:space="0" w:color="auto"/>
        <w:right w:val="none" w:sz="0" w:space="0" w:color="auto"/>
      </w:divBdr>
    </w:div>
    <w:div w:id="124202254">
      <w:bodyDiv w:val="1"/>
      <w:marLeft w:val="0"/>
      <w:marRight w:val="0"/>
      <w:marTop w:val="0"/>
      <w:marBottom w:val="0"/>
      <w:divBdr>
        <w:top w:val="none" w:sz="0" w:space="0" w:color="auto"/>
        <w:left w:val="none" w:sz="0" w:space="0" w:color="auto"/>
        <w:bottom w:val="none" w:sz="0" w:space="0" w:color="auto"/>
        <w:right w:val="none" w:sz="0" w:space="0" w:color="auto"/>
      </w:divBdr>
    </w:div>
    <w:div w:id="314917162">
      <w:bodyDiv w:val="1"/>
      <w:marLeft w:val="0"/>
      <w:marRight w:val="0"/>
      <w:marTop w:val="0"/>
      <w:marBottom w:val="0"/>
      <w:divBdr>
        <w:top w:val="none" w:sz="0" w:space="0" w:color="auto"/>
        <w:left w:val="none" w:sz="0" w:space="0" w:color="auto"/>
        <w:bottom w:val="none" w:sz="0" w:space="0" w:color="auto"/>
        <w:right w:val="none" w:sz="0" w:space="0" w:color="auto"/>
      </w:divBdr>
    </w:div>
    <w:div w:id="337779592">
      <w:bodyDiv w:val="1"/>
      <w:marLeft w:val="0"/>
      <w:marRight w:val="0"/>
      <w:marTop w:val="0"/>
      <w:marBottom w:val="0"/>
      <w:divBdr>
        <w:top w:val="none" w:sz="0" w:space="0" w:color="auto"/>
        <w:left w:val="none" w:sz="0" w:space="0" w:color="auto"/>
        <w:bottom w:val="none" w:sz="0" w:space="0" w:color="auto"/>
        <w:right w:val="none" w:sz="0" w:space="0" w:color="auto"/>
      </w:divBdr>
    </w:div>
    <w:div w:id="465390011">
      <w:bodyDiv w:val="1"/>
      <w:marLeft w:val="0"/>
      <w:marRight w:val="0"/>
      <w:marTop w:val="0"/>
      <w:marBottom w:val="0"/>
      <w:divBdr>
        <w:top w:val="none" w:sz="0" w:space="0" w:color="auto"/>
        <w:left w:val="none" w:sz="0" w:space="0" w:color="auto"/>
        <w:bottom w:val="none" w:sz="0" w:space="0" w:color="auto"/>
        <w:right w:val="none" w:sz="0" w:space="0" w:color="auto"/>
      </w:divBdr>
    </w:div>
    <w:div w:id="480342514">
      <w:bodyDiv w:val="1"/>
      <w:marLeft w:val="0"/>
      <w:marRight w:val="0"/>
      <w:marTop w:val="0"/>
      <w:marBottom w:val="0"/>
      <w:divBdr>
        <w:top w:val="none" w:sz="0" w:space="0" w:color="auto"/>
        <w:left w:val="none" w:sz="0" w:space="0" w:color="auto"/>
        <w:bottom w:val="none" w:sz="0" w:space="0" w:color="auto"/>
        <w:right w:val="none" w:sz="0" w:space="0" w:color="auto"/>
      </w:divBdr>
    </w:div>
    <w:div w:id="505753255">
      <w:bodyDiv w:val="1"/>
      <w:marLeft w:val="0"/>
      <w:marRight w:val="0"/>
      <w:marTop w:val="0"/>
      <w:marBottom w:val="0"/>
      <w:divBdr>
        <w:top w:val="none" w:sz="0" w:space="0" w:color="auto"/>
        <w:left w:val="none" w:sz="0" w:space="0" w:color="auto"/>
        <w:bottom w:val="none" w:sz="0" w:space="0" w:color="auto"/>
        <w:right w:val="none" w:sz="0" w:space="0" w:color="auto"/>
      </w:divBdr>
    </w:div>
    <w:div w:id="615138523">
      <w:bodyDiv w:val="1"/>
      <w:marLeft w:val="0"/>
      <w:marRight w:val="0"/>
      <w:marTop w:val="0"/>
      <w:marBottom w:val="0"/>
      <w:divBdr>
        <w:top w:val="none" w:sz="0" w:space="0" w:color="auto"/>
        <w:left w:val="none" w:sz="0" w:space="0" w:color="auto"/>
        <w:bottom w:val="none" w:sz="0" w:space="0" w:color="auto"/>
        <w:right w:val="none" w:sz="0" w:space="0" w:color="auto"/>
      </w:divBdr>
    </w:div>
    <w:div w:id="630398923">
      <w:bodyDiv w:val="1"/>
      <w:marLeft w:val="0"/>
      <w:marRight w:val="0"/>
      <w:marTop w:val="0"/>
      <w:marBottom w:val="0"/>
      <w:divBdr>
        <w:top w:val="none" w:sz="0" w:space="0" w:color="auto"/>
        <w:left w:val="none" w:sz="0" w:space="0" w:color="auto"/>
        <w:bottom w:val="none" w:sz="0" w:space="0" w:color="auto"/>
        <w:right w:val="none" w:sz="0" w:space="0" w:color="auto"/>
      </w:divBdr>
    </w:div>
    <w:div w:id="870268434">
      <w:bodyDiv w:val="1"/>
      <w:marLeft w:val="0"/>
      <w:marRight w:val="0"/>
      <w:marTop w:val="0"/>
      <w:marBottom w:val="0"/>
      <w:divBdr>
        <w:top w:val="none" w:sz="0" w:space="0" w:color="auto"/>
        <w:left w:val="none" w:sz="0" w:space="0" w:color="auto"/>
        <w:bottom w:val="none" w:sz="0" w:space="0" w:color="auto"/>
        <w:right w:val="none" w:sz="0" w:space="0" w:color="auto"/>
      </w:divBdr>
    </w:div>
    <w:div w:id="1243107888">
      <w:bodyDiv w:val="1"/>
      <w:marLeft w:val="0"/>
      <w:marRight w:val="0"/>
      <w:marTop w:val="0"/>
      <w:marBottom w:val="0"/>
      <w:divBdr>
        <w:top w:val="none" w:sz="0" w:space="0" w:color="auto"/>
        <w:left w:val="none" w:sz="0" w:space="0" w:color="auto"/>
        <w:bottom w:val="none" w:sz="0" w:space="0" w:color="auto"/>
        <w:right w:val="none" w:sz="0" w:space="0" w:color="auto"/>
      </w:divBdr>
    </w:div>
    <w:div w:id="1351293788">
      <w:bodyDiv w:val="1"/>
      <w:marLeft w:val="0"/>
      <w:marRight w:val="0"/>
      <w:marTop w:val="0"/>
      <w:marBottom w:val="0"/>
      <w:divBdr>
        <w:top w:val="none" w:sz="0" w:space="0" w:color="auto"/>
        <w:left w:val="none" w:sz="0" w:space="0" w:color="auto"/>
        <w:bottom w:val="none" w:sz="0" w:space="0" w:color="auto"/>
        <w:right w:val="none" w:sz="0" w:space="0" w:color="auto"/>
      </w:divBdr>
    </w:div>
    <w:div w:id="1476027360">
      <w:bodyDiv w:val="1"/>
      <w:marLeft w:val="0"/>
      <w:marRight w:val="0"/>
      <w:marTop w:val="0"/>
      <w:marBottom w:val="0"/>
      <w:divBdr>
        <w:top w:val="none" w:sz="0" w:space="0" w:color="auto"/>
        <w:left w:val="none" w:sz="0" w:space="0" w:color="auto"/>
        <w:bottom w:val="none" w:sz="0" w:space="0" w:color="auto"/>
        <w:right w:val="none" w:sz="0" w:space="0" w:color="auto"/>
      </w:divBdr>
    </w:div>
    <w:div w:id="1478721325">
      <w:bodyDiv w:val="1"/>
      <w:marLeft w:val="0"/>
      <w:marRight w:val="0"/>
      <w:marTop w:val="0"/>
      <w:marBottom w:val="0"/>
      <w:divBdr>
        <w:top w:val="none" w:sz="0" w:space="0" w:color="auto"/>
        <w:left w:val="none" w:sz="0" w:space="0" w:color="auto"/>
        <w:bottom w:val="none" w:sz="0" w:space="0" w:color="auto"/>
        <w:right w:val="none" w:sz="0" w:space="0" w:color="auto"/>
      </w:divBdr>
    </w:div>
    <w:div w:id="1544442501">
      <w:bodyDiv w:val="1"/>
      <w:marLeft w:val="0"/>
      <w:marRight w:val="0"/>
      <w:marTop w:val="0"/>
      <w:marBottom w:val="0"/>
      <w:divBdr>
        <w:top w:val="none" w:sz="0" w:space="0" w:color="auto"/>
        <w:left w:val="none" w:sz="0" w:space="0" w:color="auto"/>
        <w:bottom w:val="none" w:sz="0" w:space="0" w:color="auto"/>
        <w:right w:val="none" w:sz="0" w:space="0" w:color="auto"/>
      </w:divBdr>
      <w:divsChild>
        <w:div w:id="1194878496">
          <w:marLeft w:val="0"/>
          <w:marRight w:val="0"/>
          <w:marTop w:val="60"/>
          <w:marBottom w:val="150"/>
          <w:divBdr>
            <w:top w:val="none" w:sz="0" w:space="0" w:color="auto"/>
            <w:left w:val="none" w:sz="0" w:space="0" w:color="auto"/>
            <w:bottom w:val="none" w:sz="0" w:space="0" w:color="auto"/>
            <w:right w:val="none" w:sz="0" w:space="0" w:color="auto"/>
          </w:divBdr>
          <w:divsChild>
            <w:div w:id="1752308643">
              <w:marLeft w:val="0"/>
              <w:marRight w:val="0"/>
              <w:marTop w:val="600"/>
              <w:marBottom w:val="0"/>
              <w:divBdr>
                <w:top w:val="none" w:sz="0" w:space="0" w:color="auto"/>
                <w:left w:val="none" w:sz="0" w:space="0" w:color="auto"/>
                <w:bottom w:val="none" w:sz="0" w:space="0" w:color="auto"/>
                <w:right w:val="none" w:sz="0" w:space="0" w:color="auto"/>
              </w:divBdr>
              <w:divsChild>
                <w:div w:id="342242365">
                  <w:marLeft w:val="0"/>
                  <w:marRight w:val="150"/>
                  <w:marTop w:val="0"/>
                  <w:marBottom w:val="150"/>
                  <w:divBdr>
                    <w:top w:val="single" w:sz="6" w:space="0" w:color="CCCCCC"/>
                    <w:left w:val="single" w:sz="6" w:space="0" w:color="CCCCCC"/>
                    <w:bottom w:val="single" w:sz="6" w:space="0" w:color="CCCCCC"/>
                    <w:right w:val="single" w:sz="6" w:space="0" w:color="CCCCCC"/>
                  </w:divBdr>
                </w:div>
                <w:div w:id="629163716">
                  <w:marLeft w:val="0"/>
                  <w:marRight w:val="150"/>
                  <w:marTop w:val="0"/>
                  <w:marBottom w:val="150"/>
                  <w:divBdr>
                    <w:top w:val="single" w:sz="6" w:space="0" w:color="CCCCCC"/>
                    <w:left w:val="single" w:sz="6" w:space="0" w:color="CCCCCC"/>
                    <w:bottom w:val="single" w:sz="6" w:space="0" w:color="CCCCCC"/>
                    <w:right w:val="single" w:sz="6" w:space="0" w:color="CCCCCC"/>
                  </w:divBdr>
                </w:div>
                <w:div w:id="1648704043">
                  <w:marLeft w:val="0"/>
                  <w:marRight w:val="150"/>
                  <w:marTop w:val="0"/>
                  <w:marBottom w:val="150"/>
                  <w:divBdr>
                    <w:top w:val="single" w:sz="6" w:space="0" w:color="CCCCCC"/>
                    <w:left w:val="single" w:sz="6" w:space="0" w:color="CCCCCC"/>
                    <w:bottom w:val="single" w:sz="6" w:space="0" w:color="CCCCCC"/>
                    <w:right w:val="single" w:sz="6" w:space="0" w:color="CCCCCC"/>
                  </w:divBdr>
                </w:div>
              </w:divsChild>
            </w:div>
          </w:divsChild>
        </w:div>
        <w:div w:id="1242526740">
          <w:marLeft w:val="0"/>
          <w:marRight w:val="345"/>
          <w:marTop w:val="0"/>
          <w:marBottom w:val="0"/>
          <w:divBdr>
            <w:top w:val="none" w:sz="0" w:space="0" w:color="auto"/>
            <w:left w:val="none" w:sz="0" w:space="0" w:color="auto"/>
            <w:bottom w:val="none" w:sz="0" w:space="0" w:color="auto"/>
            <w:right w:val="none" w:sz="0" w:space="0" w:color="auto"/>
          </w:divBdr>
          <w:divsChild>
            <w:div w:id="2147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734">
      <w:bodyDiv w:val="1"/>
      <w:marLeft w:val="0"/>
      <w:marRight w:val="0"/>
      <w:marTop w:val="0"/>
      <w:marBottom w:val="0"/>
      <w:divBdr>
        <w:top w:val="none" w:sz="0" w:space="0" w:color="auto"/>
        <w:left w:val="none" w:sz="0" w:space="0" w:color="auto"/>
        <w:bottom w:val="none" w:sz="0" w:space="0" w:color="auto"/>
        <w:right w:val="none" w:sz="0" w:space="0" w:color="auto"/>
      </w:divBdr>
    </w:div>
    <w:div w:id="1899634799">
      <w:bodyDiv w:val="1"/>
      <w:marLeft w:val="0"/>
      <w:marRight w:val="0"/>
      <w:marTop w:val="0"/>
      <w:marBottom w:val="0"/>
      <w:divBdr>
        <w:top w:val="none" w:sz="0" w:space="0" w:color="auto"/>
        <w:left w:val="none" w:sz="0" w:space="0" w:color="auto"/>
        <w:bottom w:val="none" w:sz="0" w:space="0" w:color="auto"/>
        <w:right w:val="none" w:sz="0" w:space="0" w:color="auto"/>
      </w:divBdr>
    </w:div>
    <w:div w:id="1985505351">
      <w:bodyDiv w:val="1"/>
      <w:marLeft w:val="0"/>
      <w:marRight w:val="0"/>
      <w:marTop w:val="0"/>
      <w:marBottom w:val="0"/>
      <w:divBdr>
        <w:top w:val="none" w:sz="0" w:space="0" w:color="auto"/>
        <w:left w:val="none" w:sz="0" w:space="0" w:color="auto"/>
        <w:bottom w:val="none" w:sz="0" w:space="0" w:color="auto"/>
        <w:right w:val="none" w:sz="0" w:space="0" w:color="auto"/>
      </w:divBdr>
    </w:div>
    <w:div w:id="2019962426">
      <w:bodyDiv w:val="1"/>
      <w:marLeft w:val="0"/>
      <w:marRight w:val="0"/>
      <w:marTop w:val="0"/>
      <w:marBottom w:val="0"/>
      <w:divBdr>
        <w:top w:val="none" w:sz="0" w:space="0" w:color="auto"/>
        <w:left w:val="none" w:sz="0" w:space="0" w:color="auto"/>
        <w:bottom w:val="none" w:sz="0" w:space="0" w:color="auto"/>
        <w:right w:val="none" w:sz="0" w:space="0" w:color="auto"/>
      </w:divBdr>
    </w:div>
    <w:div w:id="21259952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cspecialty.com/customer-tools/coverage-calculator/"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elinda@larsonobrien.com" TargetMode="External"/><Relationship Id="rId9" Type="http://schemas.openxmlformats.org/officeDocument/2006/relationships/hyperlink" Target="http://www.lopressroom.com/tec/frenchapp" TargetMode="External"/><Relationship Id="rId10" Type="http://schemas.openxmlformats.org/officeDocument/2006/relationships/hyperlink" Target="https://itunes.apple.com/US/app/id858806157?m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3755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Contact: Jason Holliday, LarsonO'Brien Marketing Group</vt:lpstr>
    </vt:vector>
  </TitlesOfParts>
  <Company>LarsonO'Brien</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Jason Holliday, LarsonO'Brien Marketing Group</dc:title>
  <dc:creator>Jason  Holliday</dc:creator>
  <cp:lastModifiedBy>Melinda Maloney</cp:lastModifiedBy>
  <cp:revision>4</cp:revision>
  <cp:lastPrinted>2014-04-23T14:06:00Z</cp:lastPrinted>
  <dcterms:created xsi:type="dcterms:W3CDTF">2015-01-18T18:05:00Z</dcterms:created>
  <dcterms:modified xsi:type="dcterms:W3CDTF">2015-01-29T14:35:00Z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000800a2030000000000010250300207f7000400038000</vt:lpwstr>
  </property>
</Properties>
</file>